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B2" w:rsidRDefault="005F1BB2" w:rsidP="005F1BB2">
      <w:pPr>
        <w:shd w:val="clear" w:color="auto" w:fill="FFFFFF"/>
        <w:spacing w:line="360" w:lineRule="auto"/>
        <w:rPr>
          <w:rStyle w:val="Normal"/>
          <w:rFonts w:cstheme="minorHAnsi"/>
          <w:b/>
          <w:lang w:val="en-US"/>
        </w:rPr>
      </w:pPr>
      <w:r>
        <w:rPr>
          <w:noProof/>
          <w:lang w:eastAsia="tr-TR"/>
        </w:rPr>
        <w:drawing>
          <wp:inline distT="0" distB="0" distL="0" distR="0" wp14:anchorId="5C9E2FA0" wp14:editId="6EB8AE45">
            <wp:extent cx="1904560" cy="78105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12103" cy="784143"/>
                    </a:xfrm>
                    <a:prstGeom prst="rect">
                      <a:avLst/>
                    </a:prstGeom>
                  </pic:spPr>
                </pic:pic>
              </a:graphicData>
            </a:graphic>
          </wp:inline>
        </w:drawing>
      </w:r>
    </w:p>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b/>
          <w:lang w:val="en-US"/>
        </w:rPr>
        <w:t>SELFFIX</w:t>
      </w:r>
      <w:r w:rsidRPr="005F1BB2">
        <w:rPr>
          <w:rStyle w:val="Normal"/>
          <w:rFonts w:cstheme="minorHAnsi"/>
          <w:b/>
          <w:vertAlign w:val="superscript"/>
          <w:lang w:val="en-US"/>
        </w:rPr>
        <w:t>®</w:t>
      </w:r>
    </w:p>
    <w:p w:rsidR="005F1BB2" w:rsidRPr="005F1BB2" w:rsidRDefault="005F1BB2" w:rsidP="005F1BB2">
      <w:pPr>
        <w:shd w:val="clear" w:color="auto" w:fill="FFFFFF"/>
        <w:spacing w:line="360" w:lineRule="auto"/>
        <w:jc w:val="center"/>
        <w:rPr>
          <w:rFonts w:cstheme="minorHAnsi"/>
          <w:lang w:val="en-US"/>
        </w:rPr>
      </w:pPr>
      <w:r>
        <w:rPr>
          <w:rStyle w:val="Normal"/>
          <w:rFonts w:cstheme="minorHAnsi"/>
          <w:b/>
          <w:lang w:val="en-US"/>
        </w:rPr>
        <w:t>Cement-Based</w:t>
      </w:r>
      <w:r w:rsidRPr="005F1BB2">
        <w:rPr>
          <w:rStyle w:val="Normal"/>
          <w:rFonts w:cstheme="minorHAnsi"/>
          <w:b/>
          <w:lang w:val="en-US"/>
        </w:rPr>
        <w:t xml:space="preserve"> High Performance Grout Mortar</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FIELD OF APPLICATION</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It is used on cracked and worn concrete surfaces where manual operation is not possible, on broken concretes, for fixing of steel columns to the foundation, for the installation of prefabricated concrete structural elements, for securing all kinds of industrial machinery to the ground and for filling of holes and cavities.</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CHARACTERISTICS</w:t>
      </w:r>
    </w:p>
    <w:p w:rsidR="005F1BB2" w:rsidRPr="005F1BB2" w:rsidRDefault="005F1BB2" w:rsidP="005F1BB2">
      <w:pPr>
        <w:pStyle w:val="ListeParagraf"/>
        <w:numPr>
          <w:ilvl w:val="0"/>
          <w:numId w:val="2"/>
        </w:numPr>
        <w:shd w:val="clear" w:color="auto" w:fill="FFFFFF"/>
        <w:spacing w:line="360" w:lineRule="auto"/>
        <w:rPr>
          <w:rStyle w:val="Normal"/>
          <w:rFonts w:cstheme="minorHAnsi"/>
          <w:lang w:val="en-US"/>
        </w:rPr>
      </w:pPr>
      <w:r w:rsidRPr="005F1BB2">
        <w:rPr>
          <w:rStyle w:val="Normal"/>
          <w:rFonts w:cstheme="minorHAnsi"/>
          <w:lang w:val="en-US"/>
        </w:rPr>
        <w:t>Has high adhesion strength and compressive strength.</w:t>
      </w:r>
    </w:p>
    <w:p w:rsidR="005F1BB2" w:rsidRPr="005F1BB2" w:rsidRDefault="005F1BB2" w:rsidP="005F1BB2">
      <w:pPr>
        <w:pStyle w:val="ListeParagraf"/>
        <w:numPr>
          <w:ilvl w:val="0"/>
          <w:numId w:val="2"/>
        </w:numPr>
        <w:shd w:val="clear" w:color="auto" w:fill="FFFFFF"/>
        <w:spacing w:line="360" w:lineRule="auto"/>
        <w:rPr>
          <w:rFonts w:cstheme="minorHAnsi"/>
          <w:lang w:val="en-US"/>
        </w:rPr>
      </w:pPr>
      <w:r w:rsidRPr="005F1BB2">
        <w:rPr>
          <w:rStyle w:val="Normal"/>
          <w:rFonts w:cstheme="minorHAnsi"/>
          <w:lang w:val="en-US"/>
        </w:rPr>
        <w:t>Does not crack or contract.</w:t>
      </w:r>
    </w:p>
    <w:p w:rsidR="005F1BB2" w:rsidRPr="005F1BB2" w:rsidRDefault="005F1BB2" w:rsidP="005F1BB2">
      <w:pPr>
        <w:pStyle w:val="ListeParagraf"/>
        <w:numPr>
          <w:ilvl w:val="0"/>
          <w:numId w:val="2"/>
        </w:numPr>
        <w:shd w:val="clear" w:color="auto" w:fill="FFFFFF"/>
        <w:spacing w:line="360" w:lineRule="auto"/>
        <w:rPr>
          <w:rFonts w:cstheme="minorHAnsi"/>
          <w:lang w:val="en-US"/>
        </w:rPr>
      </w:pPr>
      <w:r w:rsidRPr="005F1BB2">
        <w:rPr>
          <w:rStyle w:val="Normal"/>
          <w:rFonts w:cstheme="minorHAnsi"/>
          <w:lang w:val="en-US"/>
        </w:rPr>
        <w:t>Resistant against freezing-thawing cycles.</w:t>
      </w:r>
    </w:p>
    <w:p w:rsidR="005F1BB2" w:rsidRPr="005F1BB2" w:rsidRDefault="005F1BB2" w:rsidP="005F1BB2">
      <w:pPr>
        <w:pStyle w:val="ListeParagraf"/>
        <w:numPr>
          <w:ilvl w:val="0"/>
          <w:numId w:val="2"/>
        </w:numPr>
        <w:shd w:val="clear" w:color="auto" w:fill="FFFFFF"/>
        <w:spacing w:line="360" w:lineRule="auto"/>
        <w:rPr>
          <w:rFonts w:cstheme="minorHAnsi"/>
          <w:lang w:val="en-US"/>
        </w:rPr>
      </w:pPr>
      <w:r w:rsidRPr="005F1BB2">
        <w:rPr>
          <w:rStyle w:val="Normal"/>
          <w:rFonts w:cstheme="minorHAnsi"/>
          <w:lang w:val="en-US"/>
        </w:rPr>
        <w:t>May be applied both on interior and exterior surfaces.</w:t>
      </w:r>
    </w:p>
    <w:p w:rsidR="005F1BB2" w:rsidRPr="005F1BB2" w:rsidRDefault="005F1BB2" w:rsidP="005F1BB2">
      <w:pPr>
        <w:pStyle w:val="ListeParagraf"/>
        <w:numPr>
          <w:ilvl w:val="0"/>
          <w:numId w:val="2"/>
        </w:numPr>
        <w:shd w:val="clear" w:color="auto" w:fill="FFFFFF"/>
        <w:spacing w:line="360" w:lineRule="auto"/>
        <w:rPr>
          <w:rFonts w:cstheme="minorHAnsi"/>
          <w:lang w:val="en-US"/>
        </w:rPr>
      </w:pPr>
      <w:r w:rsidRPr="005F1BB2">
        <w:rPr>
          <w:rStyle w:val="Normal"/>
          <w:rFonts w:cstheme="minorHAnsi"/>
          <w:lang w:val="en-US"/>
        </w:rPr>
        <w:t>Provides quick and perfect results.</w:t>
      </w:r>
    </w:p>
    <w:p w:rsidR="005F1BB2" w:rsidRPr="005F1BB2" w:rsidRDefault="005F1BB2" w:rsidP="005F1BB2">
      <w:pPr>
        <w:pStyle w:val="ListeParagraf"/>
        <w:numPr>
          <w:ilvl w:val="0"/>
          <w:numId w:val="2"/>
        </w:numPr>
        <w:shd w:val="clear" w:color="auto" w:fill="FFFFFF"/>
        <w:spacing w:before="187" w:line="360" w:lineRule="auto"/>
        <w:rPr>
          <w:rFonts w:cstheme="minorHAnsi"/>
          <w:lang w:val="en-US"/>
        </w:rPr>
      </w:pPr>
      <w:r w:rsidRPr="005F1BB2">
        <w:rPr>
          <w:rStyle w:val="Normal"/>
          <w:rFonts w:cstheme="minorHAnsi"/>
          <w:lang w:val="en-US"/>
        </w:rPr>
        <w:t>Allows working on areas where manual operation is not possible with its fluidity.</w:t>
      </w:r>
    </w:p>
    <w:p w:rsidR="005F1BB2" w:rsidRPr="005F1BB2" w:rsidRDefault="005F1BB2" w:rsidP="005F1BB2">
      <w:pPr>
        <w:pStyle w:val="ListeParagraf"/>
        <w:numPr>
          <w:ilvl w:val="0"/>
          <w:numId w:val="2"/>
        </w:numPr>
        <w:shd w:val="clear" w:color="auto" w:fill="FFFFFF"/>
        <w:spacing w:line="360" w:lineRule="auto"/>
        <w:rPr>
          <w:rFonts w:cstheme="minorHAnsi"/>
          <w:lang w:val="en-US"/>
        </w:rPr>
      </w:pPr>
      <w:r w:rsidRPr="005F1BB2">
        <w:rPr>
          <w:rStyle w:val="Normal"/>
          <w:rFonts w:cstheme="minorHAnsi"/>
          <w:lang w:val="en-US"/>
        </w:rPr>
        <w:t>Does not segregate or bleed water.</w:t>
      </w:r>
    </w:p>
    <w:p w:rsidR="005F1BB2" w:rsidRPr="005F1BB2" w:rsidRDefault="005F1BB2" w:rsidP="005F1BB2">
      <w:pPr>
        <w:pStyle w:val="ListeParagraf"/>
        <w:numPr>
          <w:ilvl w:val="0"/>
          <w:numId w:val="2"/>
        </w:numPr>
        <w:shd w:val="clear" w:color="auto" w:fill="FFFFFF"/>
        <w:spacing w:line="360" w:lineRule="auto"/>
        <w:rPr>
          <w:rFonts w:cstheme="minorHAnsi"/>
          <w:lang w:val="en-US"/>
        </w:rPr>
      </w:pPr>
      <w:r w:rsidRPr="005F1BB2">
        <w:rPr>
          <w:rStyle w:val="Normal"/>
          <w:rFonts w:cstheme="minorHAnsi"/>
          <w:lang w:val="en-US"/>
        </w:rPr>
        <w:t>Application thickness shall be 10-70 mm.</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APPLICATION</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SURFACE PREPARATION</w:t>
      </w:r>
    </w:p>
    <w:p w:rsidR="005F1BB2" w:rsidRPr="005F1BB2" w:rsidRDefault="005F1BB2" w:rsidP="005F1BB2">
      <w:pPr>
        <w:shd w:val="clear" w:color="auto" w:fill="FFFFFF"/>
        <w:spacing w:before="82" w:line="360" w:lineRule="auto"/>
        <w:rPr>
          <w:rFonts w:cstheme="minorHAnsi"/>
          <w:lang w:val="en-US"/>
        </w:rPr>
      </w:pPr>
      <w:r w:rsidRPr="005F1BB2">
        <w:rPr>
          <w:rStyle w:val="Normal"/>
          <w:rFonts w:cstheme="minorHAnsi"/>
          <w:lang w:val="en-US"/>
        </w:rPr>
        <w:t xml:space="preserve">The surface of application shall be free of residues that may prevent adhesion. Moving parts with low adherence shall be moved away from the surface. Corrosion on metal parts shall be removed and contact with mortar shall be prevented using an anti-corrosion agent. Absorbent surfaces shall be saturated with water. Ensure that the </w:t>
      </w:r>
      <w:proofErr w:type="spellStart"/>
      <w:r w:rsidRPr="005F1BB2">
        <w:rPr>
          <w:rStyle w:val="Normal"/>
          <w:rFonts w:cstheme="minorHAnsi"/>
          <w:lang w:val="en-US"/>
        </w:rPr>
        <w:t>mould</w:t>
      </w:r>
      <w:proofErr w:type="spellEnd"/>
      <w:r w:rsidRPr="005F1BB2">
        <w:rPr>
          <w:rStyle w:val="Normal"/>
          <w:rFonts w:cstheme="minorHAnsi"/>
          <w:lang w:val="en-US"/>
        </w:rPr>
        <w:t xml:space="preserve"> where the application shall be performed is well cleaned and water-proof, and fix the </w:t>
      </w:r>
      <w:proofErr w:type="spellStart"/>
      <w:r w:rsidRPr="005F1BB2">
        <w:rPr>
          <w:rStyle w:val="Normal"/>
          <w:rFonts w:cstheme="minorHAnsi"/>
          <w:lang w:val="en-US"/>
        </w:rPr>
        <w:t>mould</w:t>
      </w:r>
      <w:proofErr w:type="spellEnd"/>
      <w:r w:rsidRPr="005F1BB2">
        <w:rPr>
          <w:rStyle w:val="Normal"/>
          <w:rFonts w:cstheme="minorHAnsi"/>
          <w:lang w:val="en-US"/>
        </w:rPr>
        <w:t xml:space="preserve"> securely. Water collected on the surface shall be moved away before application.</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PREPARATION AND APPLICATION OF THE MORTAR</w:t>
      </w:r>
    </w:p>
    <w:p w:rsidR="005F1BB2" w:rsidRPr="005F1BB2" w:rsidRDefault="005F1BB2" w:rsidP="005F1BB2">
      <w:pPr>
        <w:shd w:val="clear" w:color="auto" w:fill="FFFFFF"/>
        <w:spacing w:before="82" w:line="360" w:lineRule="auto"/>
        <w:rPr>
          <w:rFonts w:cstheme="minorHAnsi"/>
          <w:lang w:val="en-US"/>
        </w:rPr>
      </w:pPr>
      <w:r w:rsidRPr="005F1BB2">
        <w:rPr>
          <w:rStyle w:val="Normal"/>
          <w:rFonts w:cstheme="minorHAnsi"/>
          <w:lang w:val="en-US"/>
        </w:rPr>
        <w:t xml:space="preserve">Add powder material to the mixture water put inside a clean mixing container (3.5-4,0 </w:t>
      </w:r>
      <w:proofErr w:type="spellStart"/>
      <w:r w:rsidRPr="005F1BB2">
        <w:rPr>
          <w:rStyle w:val="Normal"/>
          <w:rFonts w:cstheme="minorHAnsi"/>
          <w:lang w:val="en-US"/>
        </w:rPr>
        <w:t>lt</w:t>
      </w:r>
      <w:proofErr w:type="spellEnd"/>
      <w:r w:rsidRPr="005F1BB2">
        <w:rPr>
          <w:rStyle w:val="Normal"/>
          <w:rFonts w:cstheme="minorHAnsi"/>
          <w:lang w:val="en-US"/>
        </w:rPr>
        <w:t xml:space="preserve"> water/ 25 kg powder), and mix using a hand mixer with low speed at this time.</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lastRenderedPageBreak/>
        <w:t>Mix 3-4 minutes more until a homogeneous mixture is achieved after adding all powder. It shall be used in 15-20 as it sets quickly.</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 xml:space="preserve">The mortar prepared shall be applied with an injection pump or by </w:t>
      </w:r>
      <w:proofErr w:type="spellStart"/>
      <w:r w:rsidRPr="005F1BB2">
        <w:rPr>
          <w:rStyle w:val="Normal"/>
          <w:rFonts w:cstheme="minorHAnsi"/>
          <w:lang w:val="en-US"/>
        </w:rPr>
        <w:t>self dissipation</w:t>
      </w:r>
      <w:proofErr w:type="spellEnd"/>
      <w:r w:rsidRPr="005F1BB2">
        <w:rPr>
          <w:rStyle w:val="Normal"/>
          <w:rFonts w:cstheme="minorHAnsi"/>
          <w:lang w:val="en-US"/>
        </w:rPr>
        <w:t xml:space="preserve"> depending on the application. Times specified may differ as per ambient temperature and surface temperature, and the times are reduced at lower temperatures and increased in higher temperatures.</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CONSUMPTION</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Powder Consumption: 1.9 kg/l</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TECHNICAL DATA</w:t>
      </w:r>
    </w:p>
    <w:tbl>
      <w:tblPr>
        <w:tblW w:w="0" w:type="auto"/>
        <w:tblInd w:w="-8" w:type="dxa"/>
        <w:tblLayout w:type="fixed"/>
        <w:tblCellMar>
          <w:left w:w="40" w:type="dxa"/>
          <w:right w:w="40" w:type="dxa"/>
        </w:tblCellMar>
        <w:tblLook w:val="0000" w:firstRow="0" w:lastRow="0" w:firstColumn="0" w:lastColumn="0" w:noHBand="0" w:noVBand="0"/>
      </w:tblPr>
      <w:tblGrid>
        <w:gridCol w:w="48"/>
        <w:gridCol w:w="1627"/>
        <w:gridCol w:w="638"/>
        <w:gridCol w:w="524"/>
        <w:gridCol w:w="110"/>
        <w:gridCol w:w="706"/>
        <w:gridCol w:w="33"/>
      </w:tblGrid>
      <w:tr w:rsidR="005F1BB2" w:rsidRPr="005F1BB2" w:rsidTr="005F1BB2">
        <w:tblPrEx>
          <w:tblCellMar>
            <w:top w:w="0" w:type="dxa"/>
            <w:bottom w:w="0" w:type="dxa"/>
          </w:tblCellMar>
        </w:tblPrEx>
        <w:trPr>
          <w:gridBefore w:val="1"/>
          <w:gridAfter w:val="1"/>
          <w:wBefore w:w="48" w:type="dxa"/>
          <w:wAfter w:w="33" w:type="dxa"/>
          <w:trHeight w:hRule="exact" w:val="288"/>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Class</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lang w:val="en-US"/>
              </w:rPr>
              <w:t>R4</w:t>
            </w:r>
          </w:p>
        </w:tc>
      </w:tr>
      <w:tr w:rsidR="005F1BB2" w:rsidRPr="005F1BB2" w:rsidTr="005F1BB2">
        <w:tblPrEx>
          <w:tblCellMar>
            <w:top w:w="0" w:type="dxa"/>
            <w:bottom w:w="0" w:type="dxa"/>
          </w:tblCellMar>
        </w:tblPrEx>
        <w:trPr>
          <w:gridBefore w:val="1"/>
          <w:gridAfter w:val="1"/>
          <w:wBefore w:w="48" w:type="dxa"/>
          <w:wAfter w:w="33" w:type="dxa"/>
          <w:trHeight w:hRule="exact" w:val="283"/>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Mortar Type</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lang w:val="en-US"/>
              </w:rPr>
              <w:t>PCC</w:t>
            </w:r>
          </w:p>
        </w:tc>
      </w:tr>
      <w:tr w:rsidR="005F1BB2" w:rsidRPr="005F1BB2" w:rsidTr="005F1BB2">
        <w:tblPrEx>
          <w:tblCellMar>
            <w:top w:w="0" w:type="dxa"/>
            <w:bottom w:w="0" w:type="dxa"/>
          </w:tblCellMar>
        </w:tblPrEx>
        <w:trPr>
          <w:gridBefore w:val="1"/>
          <w:gridAfter w:val="1"/>
          <w:wBefore w:w="48" w:type="dxa"/>
          <w:wAfter w:w="33" w:type="dxa"/>
          <w:trHeight w:hRule="exact" w:val="283"/>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Adhesion Strength, N/mm²</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cs/>
                <w:lang w:val="en-US"/>
              </w:rPr>
              <w:t xml:space="preserve">≥ </w:t>
            </w:r>
            <w:r w:rsidRPr="005F1BB2">
              <w:rPr>
                <w:rStyle w:val="Normal"/>
                <w:rFonts w:cstheme="minorHAnsi"/>
                <w:lang w:val="en-US"/>
              </w:rPr>
              <w:t>2</w:t>
            </w:r>
          </w:p>
        </w:tc>
      </w:tr>
      <w:tr w:rsidR="005F1BB2" w:rsidRPr="005F1BB2" w:rsidTr="005F1BB2">
        <w:tblPrEx>
          <w:tblCellMar>
            <w:top w:w="0" w:type="dxa"/>
            <w:bottom w:w="0" w:type="dxa"/>
          </w:tblCellMar>
        </w:tblPrEx>
        <w:trPr>
          <w:gridBefore w:val="1"/>
          <w:gridAfter w:val="1"/>
          <w:wBefore w:w="48" w:type="dxa"/>
          <w:wAfter w:w="33" w:type="dxa"/>
          <w:trHeight w:hRule="exact" w:val="288"/>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 xml:space="preserve">Modulus of Elasticity, </w:t>
            </w:r>
            <w:proofErr w:type="spellStart"/>
            <w:r w:rsidRPr="005F1BB2">
              <w:rPr>
                <w:rStyle w:val="Normal"/>
                <w:rFonts w:cstheme="minorHAnsi"/>
                <w:lang w:val="en-US"/>
              </w:rPr>
              <w:t>GPa</w:t>
            </w:r>
            <w:proofErr w:type="spellEnd"/>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cs/>
                <w:lang w:val="en-US"/>
              </w:rPr>
              <w:t xml:space="preserve">≥ </w:t>
            </w:r>
            <w:r w:rsidRPr="005F1BB2">
              <w:rPr>
                <w:rStyle w:val="Normal"/>
                <w:rFonts w:cstheme="minorHAnsi"/>
                <w:lang w:val="en-US"/>
              </w:rPr>
              <w:t>20</w:t>
            </w:r>
          </w:p>
        </w:tc>
      </w:tr>
      <w:tr w:rsidR="005F1BB2" w:rsidRPr="005F1BB2" w:rsidTr="005F1BB2">
        <w:tblPrEx>
          <w:tblCellMar>
            <w:top w:w="0" w:type="dxa"/>
            <w:bottom w:w="0" w:type="dxa"/>
          </w:tblCellMar>
        </w:tblPrEx>
        <w:trPr>
          <w:gridBefore w:val="1"/>
          <w:gridAfter w:val="1"/>
          <w:wBefore w:w="48" w:type="dxa"/>
          <w:wAfter w:w="33" w:type="dxa"/>
          <w:trHeight w:hRule="exact" w:val="283"/>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Chloride Content, %</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cs/>
                <w:lang w:val="en-US"/>
              </w:rPr>
              <w:t xml:space="preserve">≤ </w:t>
            </w:r>
            <w:r w:rsidRPr="005F1BB2">
              <w:rPr>
                <w:rStyle w:val="Normal"/>
                <w:rFonts w:cstheme="minorHAnsi"/>
                <w:lang w:val="en-US"/>
              </w:rPr>
              <w:t>0.05</w:t>
            </w:r>
          </w:p>
        </w:tc>
        <w:bookmarkStart w:id="0" w:name="_GoBack"/>
        <w:bookmarkEnd w:id="0"/>
      </w:tr>
      <w:tr w:rsidR="005F1BB2" w:rsidRPr="005F1BB2" w:rsidTr="005F1BB2">
        <w:tblPrEx>
          <w:tblCellMar>
            <w:top w:w="0" w:type="dxa"/>
            <w:bottom w:w="0" w:type="dxa"/>
          </w:tblCellMar>
        </w:tblPrEx>
        <w:trPr>
          <w:gridBefore w:val="1"/>
          <w:gridAfter w:val="1"/>
          <w:wBefore w:w="48" w:type="dxa"/>
          <w:wAfter w:w="33" w:type="dxa"/>
          <w:trHeight w:hRule="exact" w:val="283"/>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Limited Shrinkage / Expansion, N/mm2</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cs/>
                <w:lang w:val="en-US"/>
              </w:rPr>
              <w:t xml:space="preserve">≥ </w:t>
            </w:r>
            <w:r w:rsidRPr="005F1BB2">
              <w:rPr>
                <w:rStyle w:val="Normal"/>
                <w:rFonts w:cstheme="minorHAnsi"/>
                <w:lang w:val="en-US"/>
              </w:rPr>
              <w:t>2</w:t>
            </w:r>
          </w:p>
        </w:tc>
      </w:tr>
      <w:tr w:rsidR="005F1BB2" w:rsidRPr="005F1BB2" w:rsidTr="005F1BB2">
        <w:tblPrEx>
          <w:tblCellMar>
            <w:top w:w="0" w:type="dxa"/>
            <w:bottom w:w="0" w:type="dxa"/>
          </w:tblCellMar>
        </w:tblPrEx>
        <w:trPr>
          <w:gridBefore w:val="1"/>
          <w:gridAfter w:val="1"/>
          <w:wBefore w:w="48" w:type="dxa"/>
          <w:wAfter w:w="33" w:type="dxa"/>
          <w:trHeight w:hRule="exact" w:val="283"/>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Capillary Water Absorption, kg/m².h</w:t>
            </w:r>
            <w:r w:rsidRPr="005F1BB2">
              <w:rPr>
                <w:rStyle w:val="Normal"/>
                <w:rFonts w:cstheme="minorHAnsi"/>
                <w:vertAlign w:val="superscript"/>
                <w:lang w:val="en-US"/>
              </w:rPr>
              <w:t>0,5</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cs/>
                <w:lang w:val="en-US"/>
              </w:rPr>
              <w:t xml:space="preserve">≤ </w:t>
            </w:r>
            <w:r w:rsidRPr="005F1BB2">
              <w:rPr>
                <w:rStyle w:val="Normal"/>
                <w:rFonts w:cstheme="minorHAnsi"/>
                <w:lang w:val="en-US"/>
              </w:rPr>
              <w:t>0.5</w:t>
            </w:r>
          </w:p>
        </w:tc>
      </w:tr>
      <w:tr w:rsidR="005F1BB2" w:rsidRPr="005F1BB2" w:rsidTr="005F1BB2">
        <w:tblPrEx>
          <w:tblCellMar>
            <w:top w:w="0" w:type="dxa"/>
            <w:bottom w:w="0" w:type="dxa"/>
          </w:tblCellMar>
        </w:tblPrEx>
        <w:trPr>
          <w:gridBefore w:val="1"/>
          <w:gridAfter w:val="1"/>
          <w:wBefore w:w="48" w:type="dxa"/>
          <w:wAfter w:w="33" w:type="dxa"/>
          <w:trHeight w:hRule="exact" w:val="288"/>
        </w:trPr>
        <w:tc>
          <w:tcPr>
            <w:tcW w:w="2789" w:type="dxa"/>
            <w:gridSpan w:val="3"/>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Reaction To Fire</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jc w:val="center"/>
              <w:rPr>
                <w:rFonts w:cstheme="minorHAnsi"/>
                <w:lang w:val="en-US"/>
              </w:rPr>
            </w:pPr>
            <w:r w:rsidRPr="005F1BB2">
              <w:rPr>
                <w:rStyle w:val="Normal"/>
                <w:rFonts w:cstheme="minorHAnsi"/>
                <w:lang w:val="en-US"/>
              </w:rPr>
              <w:t>A1</w:t>
            </w:r>
          </w:p>
        </w:tc>
      </w:tr>
      <w:tr w:rsidR="005F1BB2" w:rsidRPr="005F1BB2" w:rsidTr="005F1BB2">
        <w:tblPrEx>
          <w:tblCellMar>
            <w:top w:w="0" w:type="dxa"/>
            <w:bottom w:w="0" w:type="dxa"/>
          </w:tblCellMar>
        </w:tblPrEx>
        <w:trPr>
          <w:trHeight w:hRule="exact" w:val="298"/>
        </w:trPr>
        <w:tc>
          <w:tcPr>
            <w:tcW w:w="1675" w:type="dxa"/>
            <w:gridSpan w:val="2"/>
            <w:tcBorders>
              <w:top w:val="single" w:sz="6" w:space="0" w:color="auto"/>
              <w:left w:val="nil"/>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1 DAY</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7 DAYS</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28 DAYS</w:t>
            </w:r>
          </w:p>
        </w:tc>
      </w:tr>
      <w:tr w:rsidR="005F1BB2" w:rsidRPr="005F1BB2" w:rsidTr="005F1BB2">
        <w:tblPrEx>
          <w:tblCellMar>
            <w:top w:w="0" w:type="dxa"/>
            <w:bottom w:w="0" w:type="dxa"/>
          </w:tblCellMar>
        </w:tblPrEx>
        <w:trPr>
          <w:trHeight w:hRule="exact" w:val="283"/>
        </w:trPr>
        <w:tc>
          <w:tcPr>
            <w:tcW w:w="1675"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Bending Strength, N/mm²</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cs/>
                <w:lang w:val="en-US"/>
              </w:rPr>
              <w:t xml:space="preserve">≥ </w:t>
            </w:r>
            <w:r w:rsidRPr="005F1BB2">
              <w:rPr>
                <w:rStyle w:val="Normal"/>
                <w:rFonts w:cstheme="minorHAnsi"/>
                <w:lang w:val="en-US"/>
              </w:rPr>
              <w:t>5</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cs/>
                <w:lang w:val="en-US"/>
              </w:rPr>
              <w:t xml:space="preserve">≥ </w:t>
            </w:r>
            <w:r w:rsidRPr="005F1BB2">
              <w:rPr>
                <w:rStyle w:val="Normal"/>
                <w:rFonts w:cstheme="minorHAnsi"/>
                <w:lang w:val="en-US"/>
              </w:rPr>
              <w:t>6</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cs/>
                <w:lang w:val="en-US"/>
              </w:rPr>
              <w:t xml:space="preserve">≥ </w:t>
            </w:r>
            <w:r w:rsidRPr="005F1BB2">
              <w:rPr>
                <w:rStyle w:val="Normal"/>
                <w:rFonts w:cstheme="minorHAnsi"/>
                <w:lang w:val="en-US"/>
              </w:rPr>
              <w:t>7</w:t>
            </w:r>
          </w:p>
        </w:tc>
      </w:tr>
      <w:tr w:rsidR="005F1BB2" w:rsidRPr="005F1BB2" w:rsidTr="005F1BB2">
        <w:tblPrEx>
          <w:tblCellMar>
            <w:top w:w="0" w:type="dxa"/>
            <w:bottom w:w="0" w:type="dxa"/>
          </w:tblCellMar>
        </w:tblPrEx>
        <w:trPr>
          <w:trHeight w:hRule="exact" w:val="278"/>
        </w:trPr>
        <w:tc>
          <w:tcPr>
            <w:tcW w:w="1675"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Compressive Strength, N/mm²</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cs/>
                <w:lang w:val="en-US"/>
              </w:rPr>
              <w:t xml:space="preserve">≥ </w:t>
            </w:r>
            <w:r w:rsidRPr="005F1BB2">
              <w:rPr>
                <w:rStyle w:val="Normal"/>
                <w:rFonts w:cstheme="minorHAnsi"/>
                <w:lang w:val="en-US"/>
              </w:rPr>
              <w:t>30</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cs/>
                <w:lang w:val="en-US"/>
              </w:rPr>
              <w:t xml:space="preserve">≥ </w:t>
            </w:r>
            <w:r w:rsidRPr="005F1BB2">
              <w:rPr>
                <w:rStyle w:val="Normal"/>
                <w:rFonts w:cstheme="minorHAnsi"/>
                <w:lang w:val="en-US"/>
              </w:rPr>
              <w:t>50</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5F1BB2" w:rsidRPr="005F1BB2" w:rsidRDefault="005F1BB2" w:rsidP="005F1BB2">
            <w:pPr>
              <w:shd w:val="clear" w:color="auto" w:fill="FFFFFF"/>
              <w:spacing w:line="360" w:lineRule="auto"/>
              <w:rPr>
                <w:rFonts w:cstheme="minorHAnsi"/>
                <w:lang w:val="en-US"/>
              </w:rPr>
            </w:pPr>
            <w:r w:rsidRPr="005F1BB2">
              <w:rPr>
                <w:rStyle w:val="Normal"/>
                <w:rFonts w:cstheme="minorHAnsi"/>
                <w:cs/>
                <w:lang w:val="en-US"/>
              </w:rPr>
              <w:t xml:space="preserve">≥ </w:t>
            </w:r>
            <w:r w:rsidRPr="005F1BB2">
              <w:rPr>
                <w:rStyle w:val="Normal"/>
                <w:rFonts w:cstheme="minorHAnsi"/>
                <w:lang w:val="en-US"/>
              </w:rPr>
              <w:t>60</w:t>
            </w:r>
          </w:p>
        </w:tc>
      </w:tr>
    </w:tbl>
    <w:p w:rsidR="00305D6F" w:rsidRPr="005F1BB2" w:rsidRDefault="00305D6F" w:rsidP="005F1BB2">
      <w:pPr>
        <w:spacing w:line="360" w:lineRule="auto"/>
        <w:rPr>
          <w:rFonts w:cstheme="minorHAnsi"/>
          <w:lang w:val="en-US"/>
        </w:rPr>
      </w:pP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PACKAGING AND STORAGE</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Available in 25 kg paper bags, delivered in pallets or as sling-bags upon request.</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lang w:val="en-US"/>
        </w:rPr>
        <w:t xml:space="preserve">It is recommended that the product shall </w:t>
      </w:r>
      <w:proofErr w:type="gramStart"/>
      <w:r w:rsidRPr="005F1BB2">
        <w:rPr>
          <w:rStyle w:val="Normal"/>
          <w:rFonts w:cstheme="minorHAnsi"/>
          <w:lang w:val="en-US"/>
        </w:rPr>
        <w:t>be  consumed</w:t>
      </w:r>
      <w:proofErr w:type="gramEnd"/>
      <w:r w:rsidRPr="005F1BB2">
        <w:rPr>
          <w:rStyle w:val="Normal"/>
          <w:rFonts w:cstheme="minorHAnsi"/>
          <w:lang w:val="en-US"/>
        </w:rPr>
        <w:t xml:space="preserve"> in 6 months from the date of production if stored in its original package without opening the package under dry, frost free conditions and is stacked as maximum 8 bags, and in 1 week after opening the package. Package shall be tightly closed when it is not used.</w:t>
      </w: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RECOMMENDATIONS</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No other materials (lime, cement, gypsum, etc.) shall be added to the prepared mortar.</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Plaster shall not be used again by mixing with water or dry plaster if its application time has expired.</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Ensure that no air is left in the mortar prepared. Otherwise, air bubbles may reduce the adhesive resistance of the product.</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It is recommended the application shall be performed between +5°C and +35°C.</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right="221" w:hanging="360"/>
        <w:jc w:val="both"/>
        <w:rPr>
          <w:rFonts w:cstheme="minorHAnsi"/>
          <w:lang w:val="en-US"/>
        </w:rPr>
      </w:pPr>
      <w:r w:rsidRPr="005F1BB2">
        <w:rPr>
          <w:rStyle w:val="Normal"/>
          <w:rFonts w:cstheme="minorHAnsi"/>
          <w:lang w:val="en-US"/>
        </w:rPr>
        <w:t xml:space="preserve">Surface shall be protected against sunlight, wind, rain or frost for the first 24 hours on exterior </w:t>
      </w:r>
      <w:r w:rsidRPr="005F1BB2">
        <w:rPr>
          <w:rStyle w:val="Normal"/>
          <w:rFonts w:cstheme="minorHAnsi"/>
          <w:lang w:val="en-US"/>
        </w:rPr>
        <w:lastRenderedPageBreak/>
        <w:t>applications.</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It shall not be applied on frozen surfaces.</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Do not apply under direct sunlight.</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right="317" w:hanging="360"/>
        <w:jc w:val="both"/>
        <w:rPr>
          <w:rFonts w:cstheme="minorHAnsi"/>
          <w:lang w:val="en-US"/>
        </w:rPr>
      </w:pPr>
      <w:r w:rsidRPr="005F1BB2">
        <w:rPr>
          <w:rStyle w:val="Normal"/>
          <w:rFonts w:cstheme="minorHAnsi"/>
          <w:lang w:val="en-US"/>
        </w:rPr>
        <w:t>Do not go beyond the application field and the rules.</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Do not inhale it directly. Wash your eyes with plenty of water in case of contact with eyes, seek medical attention if required.</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hanging="360"/>
        <w:rPr>
          <w:rFonts w:cstheme="minorHAnsi"/>
          <w:lang w:val="en-US"/>
        </w:rPr>
      </w:pPr>
      <w:r w:rsidRPr="005F1BB2">
        <w:rPr>
          <w:rStyle w:val="Normal"/>
          <w:rFonts w:cstheme="minorHAnsi"/>
          <w:lang w:val="en-US"/>
        </w:rPr>
        <w:t>For detailed information, please request the safety data sheet.</w:t>
      </w:r>
    </w:p>
    <w:p w:rsidR="005F1BB2" w:rsidRPr="005F1BB2" w:rsidRDefault="005F1BB2" w:rsidP="005F1BB2">
      <w:pPr>
        <w:widowControl w:val="0"/>
        <w:numPr>
          <w:ilvl w:val="0"/>
          <w:numId w:val="1"/>
        </w:numPr>
        <w:shd w:val="clear" w:color="auto" w:fill="FFFFFF"/>
        <w:autoSpaceDE w:val="0"/>
        <w:autoSpaceDN w:val="0"/>
        <w:adjustRightInd w:val="0"/>
        <w:spacing w:after="0" w:line="360" w:lineRule="auto"/>
        <w:ind w:left="360" w:right="269" w:hanging="360"/>
        <w:jc w:val="both"/>
        <w:rPr>
          <w:rFonts w:cstheme="minorHAnsi"/>
          <w:lang w:val="en-US"/>
        </w:rPr>
      </w:pPr>
      <w:r w:rsidRPr="005F1BB2">
        <w:rPr>
          <w:rStyle w:val="Normal"/>
          <w:rFonts w:cstheme="minorHAnsi"/>
          <w:lang w:val="en-US"/>
        </w:rPr>
        <w:t>Contact us for your technical questions and for your questions about all other application conditions.</w:t>
      </w:r>
    </w:p>
    <w:p w:rsidR="005F1BB2" w:rsidRPr="005F1BB2" w:rsidRDefault="005F1BB2" w:rsidP="005F1BB2">
      <w:pPr>
        <w:spacing w:line="360" w:lineRule="auto"/>
        <w:rPr>
          <w:rFonts w:cstheme="minorHAnsi"/>
          <w:lang w:val="en-US"/>
        </w:rPr>
      </w:pPr>
    </w:p>
    <w:p w:rsidR="005F1BB2" w:rsidRPr="005F1BB2" w:rsidRDefault="005F1BB2" w:rsidP="005F1BB2">
      <w:pPr>
        <w:shd w:val="clear" w:color="auto" w:fill="FFFFFF"/>
        <w:spacing w:line="360" w:lineRule="auto"/>
        <w:rPr>
          <w:rFonts w:cstheme="minorHAnsi"/>
          <w:lang w:val="en-US"/>
        </w:rPr>
      </w:pPr>
      <w:r w:rsidRPr="005F1BB2">
        <w:rPr>
          <w:rStyle w:val="Normal"/>
          <w:rFonts w:cstheme="minorHAnsi"/>
          <w:b/>
          <w:lang w:val="en-US"/>
        </w:rPr>
        <w:t>CERTIFICATE OF CONFORMITY</w:t>
      </w:r>
    </w:p>
    <w:p w:rsidR="005F1BB2" w:rsidRPr="005F1BB2" w:rsidRDefault="005F1BB2" w:rsidP="005F1BB2">
      <w:pPr>
        <w:spacing w:line="360" w:lineRule="auto"/>
        <w:rPr>
          <w:rFonts w:cstheme="minorHAnsi"/>
          <w:lang w:val="en-US"/>
        </w:rPr>
      </w:pPr>
      <w:r w:rsidRPr="005F1BB2">
        <w:rPr>
          <w:rFonts w:cstheme="minorHAnsi"/>
          <w:noProof/>
          <w:lang w:val="en-US" w:eastAsia="tr-TR"/>
        </w:rPr>
        <w:drawing>
          <wp:inline distT="0" distB="0" distL="0" distR="0" wp14:anchorId="046F56C3" wp14:editId="0C0D428A">
            <wp:extent cx="1924050"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4050" cy="857250"/>
                    </a:xfrm>
                    <a:prstGeom prst="rect">
                      <a:avLst/>
                    </a:prstGeom>
                  </pic:spPr>
                </pic:pic>
              </a:graphicData>
            </a:graphic>
          </wp:inline>
        </w:drawing>
      </w:r>
    </w:p>
    <w:sectPr w:rsidR="005F1BB2" w:rsidRPr="005F1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607140"/>
    <w:lvl w:ilvl="0">
      <w:numFmt w:val="bullet"/>
      <w:lvlText w:val="*"/>
      <w:lvlJc w:val="left"/>
    </w:lvl>
  </w:abstractNum>
  <w:abstractNum w:abstractNumId="1" w15:restartNumberingAfterBreak="0">
    <w:nsid w:val="1D4466A3"/>
    <w:multiLevelType w:val="hybridMultilevel"/>
    <w:tmpl w:val="726ADD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173"/>
        <w:lvlJc w:val="left"/>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0"/>
    <w:rsid w:val="00305D6F"/>
    <w:rsid w:val="005F1BB2"/>
    <w:rsid w:val="00B7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9237"/>
  <w15:chartTrackingRefBased/>
  <w15:docId w15:val="{A0645B27-5E24-414E-99DC-BF5B254A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1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2</cp:revision>
  <dcterms:created xsi:type="dcterms:W3CDTF">2020-04-30T05:51:00Z</dcterms:created>
  <dcterms:modified xsi:type="dcterms:W3CDTF">2020-04-30T05:56:00Z</dcterms:modified>
</cp:coreProperties>
</file>