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65" w:rsidRPr="00C57065" w:rsidRDefault="00C57065" w:rsidP="00C57065">
      <w:pPr>
        <w:spacing w:after="0" w:line="360" w:lineRule="auto"/>
        <w:rPr>
          <w:rFonts w:cstheme="minorHAnsi"/>
          <w:b/>
          <w:sz w:val="28"/>
          <w:szCs w:val="28"/>
          <w:lang w:val="en-US"/>
        </w:rPr>
      </w:pPr>
      <w:r w:rsidRPr="00C57065">
        <w:rPr>
          <w:rFonts w:cstheme="minorHAnsi"/>
          <w:b/>
          <w:noProof/>
          <w:sz w:val="28"/>
          <w:szCs w:val="28"/>
          <w:lang w:val="en-US" w:eastAsia="tr-TR"/>
        </w:rPr>
        <w:drawing>
          <wp:inline distT="0" distB="0" distL="0" distR="0">
            <wp:extent cx="1485900" cy="571500"/>
            <wp:effectExtent l="0" t="0" r="0" b="0"/>
            <wp:docPr id="10" name="Resim 10" descr="entegr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gre log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65">
        <w:rPr>
          <w:rFonts w:cstheme="minorHAnsi"/>
          <w:b/>
          <w:sz w:val="28"/>
          <w:szCs w:val="28"/>
          <w:lang w:val="en-US"/>
        </w:rPr>
        <w:tab/>
      </w:r>
      <w:r w:rsidRPr="00C57065">
        <w:rPr>
          <w:rFonts w:cstheme="minorHAnsi"/>
          <w:b/>
          <w:sz w:val="28"/>
          <w:szCs w:val="28"/>
          <w:lang w:val="en-US"/>
        </w:rPr>
        <w:tab/>
      </w:r>
      <w:r w:rsidRPr="00C57065">
        <w:rPr>
          <w:rFonts w:cstheme="minorHAnsi"/>
          <w:b/>
          <w:sz w:val="28"/>
          <w:szCs w:val="28"/>
          <w:lang w:val="en-US"/>
        </w:rPr>
        <w:tab/>
      </w:r>
    </w:p>
    <w:p w:rsidR="00C57065" w:rsidRPr="00C57065" w:rsidRDefault="00C57065" w:rsidP="00C57065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57065">
        <w:rPr>
          <w:rFonts w:cstheme="minorHAnsi"/>
          <w:b/>
          <w:sz w:val="28"/>
          <w:szCs w:val="28"/>
          <w:lang w:val="en-US"/>
        </w:rPr>
        <w:t>FINKOT®- E</w:t>
      </w:r>
    </w:p>
    <w:p w:rsidR="00C57065" w:rsidRPr="00C57065" w:rsidRDefault="00C57065" w:rsidP="00C57065">
      <w:pPr>
        <w:spacing w:line="36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57065">
        <w:rPr>
          <w:rFonts w:cstheme="minorHAnsi"/>
          <w:b/>
          <w:sz w:val="28"/>
          <w:szCs w:val="28"/>
          <w:lang w:val="en-US"/>
        </w:rPr>
        <w:t>Cement-Based, High Performance, Thermal Insulation Board Plaster with Fiber Additives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Used for coating of thermal insulation board such as polystyrene or STONEWOOL and exterior dry wall systems.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C57065" w:rsidRPr="00C57065" w:rsidRDefault="00C57065" w:rsidP="00C57065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It may be applied on XPS, EPS and STONEWOOL.</w:t>
      </w:r>
    </w:p>
    <w:p w:rsidR="00C57065" w:rsidRPr="00C57065" w:rsidRDefault="00C57065" w:rsidP="00C57065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May be used for coating of exterior dry wall systems.</w:t>
      </w:r>
    </w:p>
    <w:p w:rsidR="00C57065" w:rsidRPr="00C57065" w:rsidRDefault="00C57065" w:rsidP="00C57065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Provides a smooth surface.</w:t>
      </w:r>
    </w:p>
    <w:p w:rsidR="00C57065" w:rsidRPr="00C57065" w:rsidRDefault="00C57065" w:rsidP="00C57065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It has polymer additives.</w:t>
      </w:r>
    </w:p>
    <w:p w:rsidR="00C57065" w:rsidRPr="00C57065" w:rsidRDefault="00C57065" w:rsidP="00C57065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Features flexibility thanks to its fiber additives, minimizes the surface cracks.</w:t>
      </w:r>
    </w:p>
    <w:p w:rsidR="00C57065" w:rsidRPr="00C57065" w:rsidRDefault="00C57065" w:rsidP="00C57065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C57065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A proper amount of water shall be put inside the mixing container (6-6.75 l water/25 kg bag).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Powder material shall be added and mixed with hand mixer at low speed.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After resting for 5 minutes, the plaster shall be mixed until achieving a homogeneous mixture.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One coat of mortar (3 mm) shall be applied on the plate affixed in advance with a steel trowel.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Reinforcement net shall be placed by stretching it and without folding it, and the connection points of the net shall be overlapped. Net shall be applied with a steel trowel to ensure the contact of fresh mortar with the net.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lastRenderedPageBreak/>
        <w:t>Second coat (2 mm) of plaster shall be applied after applying the plaster. A steel trowel is recommended to finish the surface.</w:t>
      </w:r>
    </w:p>
    <w:p w:rsidR="00C57065" w:rsidRPr="00C57065" w:rsidRDefault="00C57065" w:rsidP="00C57065">
      <w:pPr>
        <w:pStyle w:val="ListeParagraf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Sponge float may cause dusting of the surface.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CONSUMPTION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4.5 kg/m² (for 5 mm of thickness)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7"/>
        <w:gridCol w:w="756"/>
        <w:gridCol w:w="505"/>
        <w:gridCol w:w="756"/>
        <w:gridCol w:w="756"/>
        <w:gridCol w:w="756"/>
        <w:gridCol w:w="167"/>
        <w:gridCol w:w="591"/>
        <w:gridCol w:w="756"/>
        <w:gridCol w:w="757"/>
        <w:gridCol w:w="10"/>
      </w:tblGrid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Adhesive Strength, N/mm²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cs/>
                <w:lang w:val="en-US"/>
              </w:rPr>
              <w:t xml:space="preserve">≥ </w:t>
            </w: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0.2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Shininess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Matt; G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Dry Film Thickness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&gt; 400; E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Grain Size, µm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&lt; 1500; S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 xml:space="preserve">Water </w:t>
            </w:r>
            <w:proofErr w:type="spellStart"/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Vapour</w:t>
            </w:r>
            <w:proofErr w:type="spellEnd"/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 xml:space="preserve"> Transmission Rate, g/(m².day)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15&lt;V</w:t>
            </w:r>
            <w:r w:rsidRPr="00C57065">
              <w:rPr>
                <w:rStyle w:val="Normal"/>
                <w:rFonts w:cstheme="minorHAnsi"/>
                <w:sz w:val="24"/>
                <w:szCs w:val="24"/>
                <w:cs/>
                <w:lang w:val="en-US"/>
              </w:rPr>
              <w:t>≤</w:t>
            </w: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150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Water Transmission Rate, kg/(m².hour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perscript"/>
                <w:lang w:val="en-US"/>
              </w:rPr>
              <w:t>0.5</w:t>
            </w: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W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Crack Bridging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A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CO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 xml:space="preserve"> Permeability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C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 xml:space="preserve">Resistance To </w:t>
            </w:r>
            <w:proofErr w:type="spellStart"/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Mould</w:t>
            </w:r>
            <w:proofErr w:type="spellEnd"/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 xml:space="preserve"> Growth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K</w:t>
            </w:r>
            <w:r w:rsidRPr="00C57065">
              <w:rPr>
                <w:rStyle w:val="Normal"/>
                <w:rFonts w:cstheme="minorHAnsi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</w:p>
        </w:tc>
      </w:tr>
      <w:tr w:rsidR="00C57065" w:rsidRPr="00C57065" w:rsidTr="00C570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9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TS EN 1062-1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G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E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S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V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W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A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C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65" w:rsidRPr="00C57065" w:rsidRDefault="00C57065" w:rsidP="00C57065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</w:pPr>
            <w:r w:rsidRPr="00C57065">
              <w:rPr>
                <w:rStyle w:val="Normal"/>
                <w:rFonts w:cstheme="minorHAnsi"/>
                <w:sz w:val="24"/>
                <w:szCs w:val="24"/>
                <w:lang w:val="en-US"/>
              </w:rPr>
              <w:t>K</w:t>
            </w:r>
            <w:r w:rsidRPr="00C57065">
              <w:rPr>
                <w:rStyle w:val="Normal"/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C57065" w:rsidRPr="00C57065" w:rsidRDefault="00C57065" w:rsidP="00C57065">
      <w:pPr>
        <w:pStyle w:val="ListeParagraf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 xml:space="preserve">Available in 25 kg polyethylene-reinforced paper bags, delivered in pallets or as sling-bags upon request. </w:t>
      </w:r>
    </w:p>
    <w:p w:rsidR="00C57065" w:rsidRPr="00C57065" w:rsidRDefault="00C57065" w:rsidP="00C57065">
      <w:pPr>
        <w:pStyle w:val="ListeParagraf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 xml:space="preserve">It is recommended that the product shall be consumed in 1 year from the date of manufacture if stored in its original package without opening the package under dry, frost free conditions and is stacked as maximum 8 bags, and in 1 week after opening the package. </w:t>
      </w:r>
    </w:p>
    <w:p w:rsidR="00C57065" w:rsidRPr="00C57065" w:rsidRDefault="00C57065" w:rsidP="00C57065">
      <w:pPr>
        <w:pStyle w:val="ListeParagraf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Package shall be tightly closed when it is not used.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No other materials (lime, cement, gypsum, etc.) shall be added to the prepared mortar.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7065">
        <w:rPr>
          <w:rFonts w:cstheme="minorHAnsi"/>
          <w:sz w:val="24"/>
          <w:szCs w:val="24"/>
          <w:lang w:val="en-US"/>
        </w:rPr>
        <w:lastRenderedPageBreak/>
        <w:t>Morta</w:t>
      </w:r>
      <w:proofErr w:type="spellEnd"/>
      <w:r w:rsidRPr="00C57065">
        <w:rPr>
          <w:noProof/>
          <w:lang w:eastAsia="tr-TR"/>
        </w:rPr>
        <w:t xml:space="preserve"> </w:t>
      </w:r>
      <w:r w:rsidRPr="00C57065">
        <w:rPr>
          <w:rFonts w:cstheme="minorHAnsi"/>
          <w:sz w:val="24"/>
          <w:szCs w:val="24"/>
          <w:lang w:val="en-US"/>
        </w:rPr>
        <w:t>r shall not be used again by mixing with water or dry mortar if its application time has expired.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Surface shall be watered in specific intervals within 3 days after the application to ensure the strength of plaster depending on the weather conditions.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It is recommended that the application shall be performed between +5°C and +35°C.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FINKOT®-E shall be protected against quick drying under windy weather conditions.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It shall not be applied on frozen surfaces.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Do not apply under direct sunlight.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Do not go beyond the application field and the rules.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For detailed information, please request the safety data sheet.</w:t>
      </w:r>
    </w:p>
    <w:p w:rsidR="00C57065" w:rsidRPr="00C57065" w:rsidRDefault="00C57065" w:rsidP="00C57065">
      <w:pPr>
        <w:pStyle w:val="ListeParagraf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conditions.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C57065" w:rsidRPr="00C57065" w:rsidRDefault="00C57065" w:rsidP="00C57065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57065">
        <w:rPr>
          <w:noProof/>
          <w:lang w:val="en-US" w:eastAsia="tr-TR"/>
        </w:rPr>
        <w:drawing>
          <wp:anchor distT="0" distB="0" distL="114300" distR="114300" simplePos="0" relativeHeight="251667456" behindDoc="0" locked="0" layoutInCell="1" allowOverlap="1" wp14:anchorId="08E51C6E" wp14:editId="58804D93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1476375" cy="639375"/>
            <wp:effectExtent l="0" t="0" r="0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3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065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57065">
        <w:rPr>
          <w:rFonts w:cstheme="minorHAnsi"/>
          <w:sz w:val="24"/>
          <w:szCs w:val="24"/>
          <w:lang w:val="en-US"/>
        </w:rPr>
        <w:t xml:space="preserve">  </w:t>
      </w:r>
      <w:r>
        <w:rPr>
          <w:noProof/>
          <w:lang w:eastAsia="tr-TR"/>
        </w:rPr>
        <w:drawing>
          <wp:inline distT="0" distB="0" distL="0" distR="0" wp14:anchorId="491850FA" wp14:editId="44E755A5">
            <wp:extent cx="419100" cy="4191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06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</w:t>
      </w:r>
      <w:r w:rsidRPr="00C57065">
        <w:rPr>
          <w:rFonts w:cstheme="minorHAnsi"/>
          <w:sz w:val="24"/>
          <w:szCs w:val="24"/>
          <w:lang w:val="en-US"/>
        </w:rPr>
        <w:t xml:space="preserve">TS 7847 / June 2012 </w:t>
      </w:r>
    </w:p>
    <w:p w:rsidR="00C57065" w:rsidRPr="00C57065" w:rsidRDefault="00C57065" w:rsidP="00C57065">
      <w:pPr>
        <w:spacing w:line="360" w:lineRule="auto"/>
        <w:ind w:left="2832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</w:t>
      </w:r>
      <w:r w:rsidRPr="00C57065">
        <w:rPr>
          <w:rFonts w:cstheme="minorHAnsi"/>
          <w:sz w:val="24"/>
          <w:szCs w:val="24"/>
          <w:lang w:val="en-US"/>
        </w:rPr>
        <w:t>G3-E5-S3-V2-W2-A0-C0-K2</w:t>
      </w:r>
    </w:p>
    <w:p w:rsidR="00C57065" w:rsidRPr="00C57065" w:rsidRDefault="00C57065" w:rsidP="00C570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</w:t>
      </w:r>
      <w:r w:rsidRPr="00C57065">
        <w:rPr>
          <w:rFonts w:cstheme="minorHAnsi"/>
          <w:sz w:val="24"/>
          <w:szCs w:val="24"/>
          <w:lang w:val="en-US"/>
        </w:rPr>
        <w:t>Ministry of Public Works Pos. No: 04,481</w:t>
      </w:r>
      <w:r>
        <w:rPr>
          <w:rFonts w:cstheme="minorHAnsi"/>
          <w:sz w:val="24"/>
          <w:szCs w:val="24"/>
          <w:lang w:val="en-US"/>
        </w:rPr>
        <w:t xml:space="preserve">                                  </w:t>
      </w:r>
      <w:r w:rsidRPr="00C57065">
        <w:rPr>
          <w:rFonts w:cstheme="minorHAnsi"/>
          <w:sz w:val="24"/>
          <w:szCs w:val="24"/>
          <w:lang w:val="en-US"/>
        </w:rPr>
        <w:tab/>
      </w:r>
    </w:p>
    <w:p w:rsidR="00C57065" w:rsidRPr="00C57065" w:rsidRDefault="00C57065" w:rsidP="00C57065">
      <w:pPr>
        <w:spacing w:line="360" w:lineRule="auto"/>
        <w:ind w:right="-155"/>
        <w:jc w:val="both"/>
        <w:rPr>
          <w:rFonts w:ascii="Arial" w:hAnsi="Arial"/>
          <w:i/>
          <w:sz w:val="16"/>
          <w:lang w:val="en-US"/>
        </w:rPr>
      </w:pPr>
      <w:r w:rsidRPr="00C57065">
        <w:rPr>
          <w:rFonts w:cstheme="minorHAnsi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078B" wp14:editId="24E85D61">
                <wp:simplePos x="0" y="0"/>
                <wp:positionH relativeFrom="column">
                  <wp:posOffset>-842645</wp:posOffset>
                </wp:positionH>
                <wp:positionV relativeFrom="paragraph">
                  <wp:posOffset>287655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A18E8" id="Düz Bağlayıcı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22.65pt" to="522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3PmgVt4A&#10;AAALAQAADwAAAGRycy9kb3ducmV2LnhtbEyPwW7CMAyG75P2DpEn7QYJ0BbUNUUMadp5wIVb2nht&#10;tcbpmgDd28+ctqPtT7+/v9hOrhdXHEPnScNirkAg1d521Gg4Hd9mGxAhGrKm94QafjDAtnx8KExu&#10;/Y0+8HqIjeAQCrnR0MY45FKGukVnwtwPSHz79KMzkcexkXY0Nw53vVwqlUlnOuIPrRlw32L9dbg4&#10;Dcd3p6Yqdnuk77XanV/TjM6p1s9P0+4FRMQp/sFw12d1KNmp8heyQfQaZovVcs2shiRdgbgTKkm4&#10;TcWbbAOyLOT/DuUvAAAA//8DAFBLAQItABQABgAIAAAAIQC2gziS/gAAAOEBAAATAAAAAAAAAAAA&#10;AAAAAAAAAABbQ29udGVudF9UeXBlc10ueG1sUEsBAi0AFAAGAAgAAAAhADj9If/WAAAAlAEAAAsA&#10;AAAAAAAAAAAAAAAALwEAAF9yZWxzLy5yZWxzUEsBAi0AFAAGAAgAAAAhAIviOojNAQAAwwMAAA4A&#10;AAAAAAAAAAAAAAAALgIAAGRycy9lMm9Eb2MueG1sUEsBAi0AFAAGAAgAAAAhANz5oFb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57065">
        <w:rPr>
          <w:rFonts w:cstheme="minorHAnsi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8656D" wp14:editId="5527D9D8">
                <wp:simplePos x="0" y="0"/>
                <wp:positionH relativeFrom="page">
                  <wp:align>right</wp:align>
                </wp:positionH>
                <wp:positionV relativeFrom="paragraph">
                  <wp:posOffset>220980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3AAF4" id="Düz Bağlayıcı 2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7.55pt,17.4pt" to="1126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EUIZhvaAAAA&#10;BwEAAA8AAABkcnMvZG93bnJldi54bWxMj8FuwjAQRO+V+AdrkXorNtAkVRoHUaSq5wIXbk68TaLG&#10;6xAbSP++y6k97sxo5m2xmVwvrjiGzpOG5UKBQKq97ajRcDy8P72ACNGQNb0n1PCDATbl7KEwufU3&#10;+sTrPjaCSyjkRkMb45BLGeoWnQkLPyCx9+VHZyKfYyPtaG5c7nq5UiqVznTEC60ZcNdi/b2/OA2H&#10;D6emKnY7pHOmtqe3JKVTovXjfNq+gog4xb8w3PEZHUpmqvyFbBC9Bn4kalg/M//dXWZZAqJiJV2D&#10;LAv5n7/8BQAA//8DAFBLAQItABQABgAIAAAAIQC2gziS/gAAAOEBAAATAAAAAAAAAAAAAAAAAAAA&#10;AABbQ29udGVudF9UeXBlc10ueG1sUEsBAi0AFAAGAAgAAAAhADj9If/WAAAAlAEAAAsAAAAAAAAA&#10;AAAAAAAALwEAAF9yZWxzLy5yZWxzUEsBAi0AFAAGAAgAAAAhAJzGfk7LAQAAwwMAAA4AAAAAAAAA&#10;AAAAAAAALgIAAGRycy9lMm9Eb2MueG1sUEsBAi0AFAAGAAgAAAAhAEUIZhvaAAAABwEAAA8AAAAA&#10;AAAAAAAAAAAAJQQAAGRycy9kb3ducmV2LnhtbFBLBQYAAAAABAAEAPMAAAAs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57065" w:rsidRDefault="00C57065" w:rsidP="00C57065">
      <w:pPr>
        <w:spacing w:line="360" w:lineRule="auto"/>
        <w:ind w:right="-155"/>
        <w:jc w:val="both"/>
        <w:rPr>
          <w:rFonts w:ascii="Arial" w:hAnsi="Arial"/>
          <w:i/>
          <w:sz w:val="16"/>
          <w:lang w:val="en-US"/>
        </w:rPr>
      </w:pPr>
      <w:bookmarkStart w:id="0" w:name="_GoBack"/>
      <w:bookmarkEnd w:id="0"/>
    </w:p>
    <w:p w:rsidR="00C57065" w:rsidRPr="00C57065" w:rsidRDefault="00C57065" w:rsidP="00C57065">
      <w:pPr>
        <w:spacing w:line="360" w:lineRule="auto"/>
        <w:ind w:right="-155"/>
        <w:jc w:val="both"/>
        <w:rPr>
          <w:rFonts w:ascii="Arial" w:hAnsi="Arial"/>
          <w:i/>
          <w:sz w:val="16"/>
          <w:lang w:val="en-US"/>
        </w:rPr>
      </w:pPr>
      <w:r w:rsidRPr="00C57065">
        <w:rPr>
          <w:rFonts w:ascii="Arial" w:hAnsi="Arial"/>
          <w:i/>
          <w:sz w:val="16"/>
          <w:lang w:val="en-US"/>
        </w:rPr>
        <w:t xml:space="preserve">Above stated data obtained in lab conditions. </w:t>
      </w:r>
      <w:proofErr w:type="spellStart"/>
      <w:r w:rsidRPr="00C57065">
        <w:rPr>
          <w:rFonts w:ascii="Arial" w:hAnsi="Arial"/>
          <w:i/>
          <w:sz w:val="16"/>
          <w:lang w:val="en-US"/>
        </w:rPr>
        <w:t>Entegre</w:t>
      </w:r>
      <w:proofErr w:type="spellEnd"/>
      <w:r w:rsidRPr="00C57065">
        <w:rPr>
          <w:rFonts w:ascii="Arial" w:hAnsi="Arial"/>
          <w:i/>
          <w:sz w:val="16"/>
          <w:lang w:val="en-US"/>
        </w:rPr>
        <w:t xml:space="preserve"> will not be liable for any defect in product occurring by reason of events or conditions not within its control such as misuse, mishandling, improper storage or improper installation.</w:t>
      </w:r>
    </w:p>
    <w:p w:rsidR="00C57065" w:rsidRPr="00C57065" w:rsidRDefault="00C57065" w:rsidP="00C57065">
      <w:pPr>
        <w:spacing w:line="360" w:lineRule="auto"/>
        <w:ind w:right="-155"/>
        <w:jc w:val="both"/>
        <w:rPr>
          <w:rFonts w:ascii="Arial" w:hAnsi="Arial"/>
          <w:b/>
          <w:i/>
          <w:sz w:val="16"/>
          <w:lang w:val="en-US"/>
        </w:rPr>
      </w:pPr>
      <w:proofErr w:type="spellStart"/>
      <w:r w:rsidRPr="00C57065">
        <w:rPr>
          <w:rFonts w:ascii="Arial" w:hAnsi="Arial"/>
          <w:i/>
          <w:sz w:val="16"/>
          <w:lang w:val="en-US"/>
        </w:rPr>
        <w:t>Entegre</w:t>
      </w:r>
      <w:proofErr w:type="spellEnd"/>
      <w:r w:rsidRPr="00C57065">
        <w:rPr>
          <w:rFonts w:ascii="Arial" w:hAnsi="Arial"/>
          <w:i/>
          <w:sz w:val="16"/>
          <w:lang w:val="en-US"/>
        </w:rPr>
        <w:t xml:space="preserve"> reserves the right to revise the information contained herein without prior notice.</w:t>
      </w:r>
    </w:p>
    <w:p w:rsidR="00C57065" w:rsidRPr="00C57065" w:rsidRDefault="00C57065" w:rsidP="00C57065">
      <w:pPr>
        <w:spacing w:line="360" w:lineRule="auto"/>
        <w:ind w:right="-155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 w:rsidRPr="00C57065">
        <w:rPr>
          <w:rFonts w:ascii="Arial" w:hAnsi="Arial"/>
          <w:b/>
          <w:i/>
          <w:sz w:val="16"/>
          <w:lang w:val="en-US"/>
        </w:rPr>
        <w:t xml:space="preserve">ENTEGRE HARÇ SAN. </w:t>
      </w:r>
      <w:proofErr w:type="spellStart"/>
      <w:r w:rsidRPr="00C57065">
        <w:rPr>
          <w:rFonts w:ascii="Arial" w:hAnsi="Arial"/>
          <w:b/>
          <w:i/>
          <w:sz w:val="16"/>
          <w:lang w:val="en-US"/>
        </w:rPr>
        <w:t>ve</w:t>
      </w:r>
      <w:proofErr w:type="spellEnd"/>
      <w:r w:rsidRPr="00C57065">
        <w:rPr>
          <w:rFonts w:ascii="Arial" w:hAnsi="Arial"/>
          <w:b/>
          <w:i/>
          <w:sz w:val="16"/>
          <w:lang w:val="en-US"/>
        </w:rPr>
        <w:t xml:space="preserve"> TİC. A.Ş.</w:t>
      </w:r>
    </w:p>
    <w:p w:rsidR="00C57065" w:rsidRPr="00C57065" w:rsidRDefault="00C57065" w:rsidP="00C57065">
      <w:pPr>
        <w:spacing w:line="360" w:lineRule="auto"/>
        <w:ind w:right="-155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C57065">
        <w:rPr>
          <w:rFonts w:ascii="Arial" w:hAnsi="Arial"/>
          <w:i/>
          <w:sz w:val="16"/>
          <w:lang w:val="en-US"/>
        </w:rPr>
        <w:t xml:space="preserve">HÜSEYİNLİ VILLAGE, BEYKOZ STREET. No:222/4 34799 </w:t>
      </w:r>
      <w:proofErr w:type="spellStart"/>
      <w:r w:rsidRPr="00C57065">
        <w:rPr>
          <w:rFonts w:ascii="Arial" w:hAnsi="Arial"/>
          <w:i/>
          <w:sz w:val="16"/>
          <w:lang w:val="en-US"/>
        </w:rPr>
        <w:t>Çekmeköy</w:t>
      </w:r>
      <w:proofErr w:type="spellEnd"/>
      <w:r w:rsidRPr="00C57065">
        <w:rPr>
          <w:rFonts w:ascii="Arial" w:hAnsi="Arial"/>
          <w:i/>
          <w:sz w:val="16"/>
          <w:lang w:val="en-US"/>
        </w:rPr>
        <w:t xml:space="preserve">/İSTANBUL T: 0216 434 50 96 F: 0216 434 50 31 </w:t>
      </w:r>
      <w:hyperlink r:id="rId8" w:history="1">
        <w:r w:rsidRPr="00C57065">
          <w:rPr>
            <w:rStyle w:val="Kpr"/>
            <w:rFonts w:ascii="Arial" w:hAnsi="Arial"/>
            <w:i/>
            <w:sz w:val="16"/>
            <w:lang w:val="en-US"/>
          </w:rPr>
          <w:t>www.entegreharc.com.tr</w:t>
        </w:r>
      </w:hyperlink>
    </w:p>
    <w:p w:rsidR="00305D6F" w:rsidRPr="00C57065" w:rsidRDefault="00305D6F">
      <w:pPr>
        <w:rPr>
          <w:lang w:val="en-US"/>
        </w:rPr>
      </w:pPr>
    </w:p>
    <w:sectPr w:rsidR="00305D6F" w:rsidRPr="00C5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9E1"/>
    <w:multiLevelType w:val="hybridMultilevel"/>
    <w:tmpl w:val="06B0F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F5E40"/>
    <w:multiLevelType w:val="hybridMultilevel"/>
    <w:tmpl w:val="1AA6B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3031"/>
    <w:multiLevelType w:val="hybridMultilevel"/>
    <w:tmpl w:val="EF9A8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47"/>
    <w:rsid w:val="001B3347"/>
    <w:rsid w:val="00305D6F"/>
    <w:rsid w:val="00C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CD60"/>
  <w15:chartTrackingRefBased/>
  <w15:docId w15:val="{8410D9D4-C831-447C-8596-98C880A6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7065"/>
    <w:pPr>
      <w:ind w:left="720"/>
      <w:contextualSpacing/>
    </w:pPr>
  </w:style>
  <w:style w:type="character" w:styleId="Kpr">
    <w:name w:val="Hyperlink"/>
    <w:rsid w:val="00C57065"/>
    <w:rPr>
      <w:color w:val="0000FF"/>
      <w:u w:val="single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greharc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2020-01-24T06:21:00Z</dcterms:created>
  <dcterms:modified xsi:type="dcterms:W3CDTF">2020-01-24T06:31:00Z</dcterms:modified>
</cp:coreProperties>
</file>