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72" w:rsidRDefault="005413AC" w:rsidP="00034472">
      <w:pPr>
        <w:spacing w:line="360" w:lineRule="auto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noProof/>
          <w:sz w:val="24"/>
          <w:szCs w:val="24"/>
          <w:lang w:eastAsia="tr-TR"/>
        </w:rPr>
        <w:drawing>
          <wp:inline distT="0" distB="0" distL="0" distR="0" wp14:anchorId="5E0BEF45" wp14:editId="0AE6FF7D">
            <wp:extent cx="1626321" cy="8280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gre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180" cy="84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4"/>
          <w:szCs w:val="24"/>
          <w:lang w:val="en-US"/>
        </w:rPr>
        <w:t xml:space="preserve">                              </w:t>
      </w:r>
      <w:r w:rsidR="001C311C" w:rsidRPr="001C311C">
        <w:rPr>
          <w:rFonts w:ascii="Calibri" w:hAnsi="Calibri" w:cs="Calibri"/>
          <w:b/>
          <w:sz w:val="28"/>
          <w:szCs w:val="28"/>
          <w:lang w:val="en-US"/>
        </w:rPr>
        <w:t>FINKOT®</w:t>
      </w:r>
      <w:bookmarkStart w:id="0" w:name="_GoBack"/>
      <w:bookmarkEnd w:id="0"/>
    </w:p>
    <w:p w:rsidR="001C311C" w:rsidRPr="001C311C" w:rsidRDefault="001C311C" w:rsidP="001C311C">
      <w:pPr>
        <w:spacing w:line="360" w:lineRule="auto"/>
        <w:jc w:val="center"/>
        <w:rPr>
          <w:rFonts w:cstheme="minorHAnsi"/>
          <w:b/>
          <w:bCs/>
          <w:lang w:val="en-US"/>
        </w:rPr>
      </w:pPr>
      <w:r w:rsidRPr="001C311C">
        <w:rPr>
          <w:rFonts w:cstheme="minorHAnsi"/>
          <w:b/>
          <w:bCs/>
          <w:lang w:val="en-US"/>
        </w:rPr>
        <w:t>CEMENT-BASED HIGH PERFORMANCE PLASTER</w:t>
      </w:r>
    </w:p>
    <w:p w:rsidR="00034472" w:rsidRPr="001C311C" w:rsidRDefault="001C311C" w:rsidP="001C311C">
      <w:pPr>
        <w:spacing w:line="360" w:lineRule="auto"/>
        <w:jc w:val="center"/>
        <w:rPr>
          <w:rFonts w:ascii="Calibri" w:hAnsi="Calibri" w:cs="Calibri"/>
          <w:i/>
          <w:sz w:val="24"/>
          <w:szCs w:val="24"/>
          <w:lang w:val="en-US"/>
        </w:rPr>
      </w:pPr>
      <w:r w:rsidRPr="001C311C">
        <w:rPr>
          <w:rFonts w:cstheme="minorHAnsi"/>
          <w:bCs/>
          <w:i/>
          <w:lang w:val="en-US"/>
        </w:rPr>
        <w:t>Thermal Insulation Board Plaster with Polymer Additive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FIELD OF APPLICATION</w:t>
      </w:r>
    </w:p>
    <w:p w:rsidR="001C311C" w:rsidRDefault="001C311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Used for coating of polystyrene and STONEWOOL plates.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CHARACTERISTICS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It may be applied on XPS, EPS and STONEWOOL.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Provides a smooth surface.</w:t>
      </w:r>
    </w:p>
    <w:p w:rsid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It has polymer additives.</w:t>
      </w:r>
    </w:p>
    <w:p w:rsidR="005413AC" w:rsidRPr="005413AC" w:rsidRDefault="005413AC" w:rsidP="001C311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APPLICATION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SURFACE PREPARATION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A proper amount of water shall be put inside the mixing container (6-6.75 l water/25 kg bag).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Powder material shall be added and mixed with a low speed hand mixer.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After resting for 5 minutes, the plaster shall be mixed until achieving a homogeneous mixture.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One coat of mortar with 3 mm of thickness shall be applied by steel trowel on the panel which had been fixed on the wall.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Reinforcement fiber mesh shall be placed by stretching it and without folding it, and the connection points of the mesh shall be overlapped. Net shall be applied with a steel trowel to ensure the contact of fresh mortar with the net.</w:t>
      </w:r>
    </w:p>
    <w:p w:rsidR="001C311C" w:rsidRP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Second coat (2 mm) of plaster shall be applied after applying the plaster.</w:t>
      </w:r>
    </w:p>
    <w:p w:rsidR="001C311C" w:rsidRDefault="001C311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lastRenderedPageBreak/>
        <w:t>A steel trowel is recommended to finish the surface. Sponge float may cause dusting of the surface.</w:t>
      </w:r>
    </w:p>
    <w:p w:rsidR="005413AC" w:rsidRPr="005413AC" w:rsidRDefault="005413AC" w:rsidP="001C311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CONSUMPTION</w:t>
      </w:r>
    </w:p>
    <w:p w:rsidR="005413AC" w:rsidRPr="005413AC" w:rsidRDefault="001C311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4.5 kg/m² (for 5 mm of thickness)</w:t>
      </w:r>
    </w:p>
    <w:p w:rsid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TECHNICAL DATA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737"/>
        <w:gridCol w:w="544"/>
        <w:gridCol w:w="814"/>
        <w:gridCol w:w="814"/>
        <w:gridCol w:w="814"/>
        <w:gridCol w:w="816"/>
        <w:gridCol w:w="25"/>
        <w:gridCol w:w="789"/>
        <w:gridCol w:w="875"/>
      </w:tblGrid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Adhesive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Strength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  <w:cs/>
              </w:rPr>
              <w:t xml:space="preserve">≥ </w:t>
            </w:r>
            <w:r w:rsidRPr="001C311C">
              <w:rPr>
                <w:rStyle w:val="Normal"/>
                <w:rFonts w:cstheme="minorHAnsi"/>
                <w:sz w:val="24"/>
                <w:szCs w:val="24"/>
              </w:rPr>
              <w:t>0.1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Shininess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Matt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>; G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Dry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Film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Thickness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&gt; 400; E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5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Grain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Size, µm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&lt; 1500; S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3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Vapour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Rate, g/(m².day)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15&lt;V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r w:rsidRPr="001C311C">
              <w:rPr>
                <w:rStyle w:val="Normal"/>
                <w:rFonts w:cstheme="minorHAnsi"/>
                <w:sz w:val="24"/>
                <w:szCs w:val="24"/>
                <w:cs/>
              </w:rPr>
              <w:t>≤</w:t>
            </w:r>
            <w:r w:rsidRPr="001C311C">
              <w:rPr>
                <w:rStyle w:val="Normal"/>
                <w:rFonts w:cstheme="minorHAnsi"/>
                <w:sz w:val="24"/>
                <w:szCs w:val="24"/>
              </w:rPr>
              <w:t>150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Water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Transmission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Rate, kg/(m².hour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perscript"/>
              </w:rPr>
              <w:t>0.5</w:t>
            </w:r>
            <w:r w:rsidRPr="001C311C">
              <w:rPr>
                <w:rStyle w:val="Normal"/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W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Crack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Bridging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A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CO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2</w:t>
            </w:r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Permeability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C</w:t>
            </w:r>
            <w:r w:rsidRPr="001C311C">
              <w:rPr>
                <w:rStyle w:val="Normal"/>
                <w:rFonts w:cstheme="minorHAnsi"/>
                <w:sz w:val="24"/>
                <w:szCs w:val="24"/>
                <w:vertAlign w:val="subscript"/>
              </w:rPr>
              <w:t>0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6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Resistance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to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Mould</w:t>
            </w:r>
            <w:proofErr w:type="spellEnd"/>
            <w:r w:rsidRPr="001C311C">
              <w:rPr>
                <w:rStyle w:val="Normal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311C">
              <w:rPr>
                <w:rStyle w:val="Normal"/>
                <w:rFonts w:cstheme="minorHAnsi"/>
                <w:sz w:val="24"/>
                <w:szCs w:val="24"/>
              </w:rPr>
              <w:t>Growth</w:t>
            </w:r>
            <w:proofErr w:type="spellEnd"/>
          </w:p>
        </w:tc>
        <w:tc>
          <w:tcPr>
            <w:tcW w:w="1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sz w:val="24"/>
                <w:szCs w:val="24"/>
              </w:rPr>
              <w:t>K</w:t>
            </w:r>
            <w:r w:rsidRPr="001C311C">
              <w:rPr>
                <w:rStyle w:val="Normal"/>
                <w:rFonts w:cstheme="minorHAnsi"/>
                <w:sz w:val="24"/>
                <w:szCs w:val="24"/>
                <w:u w:val="single"/>
                <w:vertAlign w:val="subscript"/>
              </w:rPr>
              <w:t>2</w:t>
            </w:r>
          </w:p>
        </w:tc>
      </w:tr>
      <w:tr w:rsidR="001C311C" w:rsidRPr="00B534DF" w:rsidTr="001C311C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TS EN 1062-1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G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E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S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V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W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A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C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11C" w:rsidRPr="001C311C" w:rsidRDefault="001C311C" w:rsidP="001C311C">
            <w:pPr>
              <w:shd w:val="clear" w:color="auto" w:fill="FFFFFF"/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</w:pPr>
            <w:r w:rsidRPr="001C311C">
              <w:rPr>
                <w:rStyle w:val="Normal"/>
                <w:rFonts w:cstheme="minorHAnsi"/>
                <w:b/>
                <w:sz w:val="24"/>
                <w:szCs w:val="24"/>
              </w:rPr>
              <w:t>K</w:t>
            </w:r>
            <w:r w:rsidRPr="001C311C">
              <w:rPr>
                <w:rStyle w:val="Normal"/>
                <w:rFonts w:cstheme="minorHAnsi"/>
                <w:b/>
                <w:sz w:val="24"/>
                <w:szCs w:val="24"/>
                <w:vertAlign w:val="subscript"/>
              </w:rPr>
              <w:t>2</w:t>
            </w:r>
          </w:p>
        </w:tc>
      </w:tr>
    </w:tbl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5413AC" w:rsidRPr="005413AC" w:rsidRDefault="005413A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PACKAGING AND STORAGE</w:t>
      </w:r>
    </w:p>
    <w:p w:rsidR="001C311C" w:rsidRDefault="001C311C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Available in 25 kg polyethylene-reinforced paper bags, delivered in pallets or as sling-bags upon request. It is recommended that the product shall be consumed in 1 year from the date of manufacture if stored in its original package without opening the package under dry, frost free conditions and is stacked as maximum 8 bags, and in 1 week after opening the package. Package shall be tightly closed when it is not used.</w:t>
      </w:r>
    </w:p>
    <w:p w:rsidR="005413AC" w:rsidRPr="005413AC" w:rsidRDefault="005413AC" w:rsidP="005413A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5413AC">
        <w:rPr>
          <w:rFonts w:ascii="Calibri" w:hAnsi="Calibri" w:cs="Calibri"/>
          <w:b/>
          <w:sz w:val="24"/>
          <w:szCs w:val="24"/>
          <w:lang w:val="en-US"/>
        </w:rPr>
        <w:t>RECOMMENDATIONS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No other materials (lime, cement, gypsum, etc.) shall be added to the prepared mortar.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Plaster shall not be used again by mixing with water or dry plaster if its application time has expired.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lastRenderedPageBreak/>
        <w:t>Surface shall be watered in specific intervals within 3 days after the application to ensure the strength of plaster depending on the weather conditions.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It is recommended that the application shall be performed between +5°C and +35°C.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FINKOT® shall be protected against quick drying under windy weather conditions.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It shall not be applied on frozen surfaces.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Do not apply under direct sunlight.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Do not go beyond the application field and the rules.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For detailed information, please request the safety data sheet.</w:t>
      </w:r>
    </w:p>
    <w:p w:rsidR="001C311C" w:rsidRPr="001C311C" w:rsidRDefault="001C311C" w:rsidP="001C311C">
      <w:pPr>
        <w:pStyle w:val="ListeParagraf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5413AC" w:rsidRPr="001C311C" w:rsidRDefault="005413AC" w:rsidP="001C311C">
      <w:pPr>
        <w:spacing w:line="360" w:lineRule="auto"/>
        <w:rPr>
          <w:rFonts w:ascii="Calibri" w:hAnsi="Calibri" w:cs="Calibri"/>
          <w:b/>
          <w:sz w:val="24"/>
          <w:szCs w:val="24"/>
          <w:lang w:val="en-US"/>
        </w:rPr>
      </w:pPr>
      <w:r w:rsidRPr="001C311C">
        <w:rPr>
          <w:rFonts w:ascii="Calibri" w:hAnsi="Calibri" w:cs="Calibri"/>
          <w:b/>
          <w:sz w:val="24"/>
          <w:szCs w:val="24"/>
          <w:lang w:val="en-US"/>
        </w:rPr>
        <w:t>CERTIFICATE OF CONFORMITY</w:t>
      </w:r>
    </w:p>
    <w:p w:rsidR="001C311C" w:rsidRPr="001C311C" w:rsidRDefault="005413AC" w:rsidP="001C311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lang w:eastAsia="tr-TR"/>
        </w:rPr>
        <w:drawing>
          <wp:inline distT="0" distB="0" distL="0" distR="0" wp14:anchorId="580460E3" wp14:editId="3B05B9CF">
            <wp:extent cx="1552575" cy="514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11C" w:rsidRPr="001C311C">
        <w:t xml:space="preserve"> </w:t>
      </w:r>
      <w:r w:rsidR="001C311C" w:rsidRPr="001C311C">
        <w:rPr>
          <w:rFonts w:ascii="Calibri" w:hAnsi="Calibri" w:cs="Calibri"/>
          <w:sz w:val="24"/>
          <w:szCs w:val="24"/>
          <w:lang w:val="en-US"/>
        </w:rPr>
        <w:t>TS 7847 / G3-E5-S3-V2-W2-A0-C0</w:t>
      </w:r>
    </w:p>
    <w:p w:rsidR="005413AC" w:rsidRPr="005413AC" w:rsidRDefault="001C311C" w:rsidP="001C311C">
      <w:pPr>
        <w:spacing w:line="360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1C311C">
        <w:rPr>
          <w:rFonts w:ascii="Calibri" w:hAnsi="Calibri" w:cs="Calibri"/>
          <w:sz w:val="24"/>
          <w:szCs w:val="24"/>
          <w:lang w:val="en-US"/>
        </w:rPr>
        <w:t>Ministry of Public Works Pos. No: 04,481</w:t>
      </w:r>
    </w:p>
    <w:p w:rsidR="00305D6F" w:rsidRPr="005413AC" w:rsidRDefault="00305D6F" w:rsidP="005413AC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sectPr w:rsidR="00305D6F" w:rsidRPr="0054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5174"/>
    <w:multiLevelType w:val="hybridMultilevel"/>
    <w:tmpl w:val="1A7A0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2"/>
    <w:rsid w:val="00034472"/>
    <w:rsid w:val="001C311C"/>
    <w:rsid w:val="00305D6F"/>
    <w:rsid w:val="005413AC"/>
    <w:rsid w:val="008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266C"/>
  <w15:chartTrackingRefBased/>
  <w15:docId w15:val="{E001BE09-663A-40F5-833A-1533FFC5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A">
    <w:name w:val="Gövde A"/>
    <w:rsid w:val="000344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Paragraf">
    <w:name w:val="List Paragraph"/>
    <w:basedOn w:val="Normal"/>
    <w:uiPriority w:val="34"/>
    <w:qFormat/>
    <w:rsid w:val="001C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2</cp:revision>
  <dcterms:created xsi:type="dcterms:W3CDTF">2020-05-14T05:43:00Z</dcterms:created>
  <dcterms:modified xsi:type="dcterms:W3CDTF">2020-05-14T05:43:00Z</dcterms:modified>
</cp:coreProperties>
</file>